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default" w:ascii="Times New Roman" w:hAnsi="Times New Roman" w:cs="Times New Roman" w:eastAsiaTheme="minorEastAsia"/>
          <w:b/>
          <w:color w:val="000000" w:themeColor="text1"/>
          <w:sz w:val="52"/>
          <w:szCs w:val="52"/>
          <w:lang w:eastAsia="zh-CN"/>
          <w14:textFill>
            <w14:solidFill>
              <w14:schemeClr w14:val="tx1"/>
            </w14:solidFill>
          </w14:textFill>
        </w:rPr>
      </w:pPr>
      <w:r>
        <w:rPr>
          <w:rFonts w:hint="default" w:ascii="Times New Roman" w:hAnsi="Times New Roman" w:cs="Times New Roman" w:eastAsiaTheme="minorEastAsia"/>
          <w:b/>
          <w:color w:val="000000" w:themeColor="text1"/>
          <w:w w:val="99"/>
          <w:position w:val="-3"/>
          <w:sz w:val="52"/>
          <w:szCs w:val="52"/>
          <w:lang w:eastAsia="zh-CN"/>
          <w14:textFill>
            <w14:solidFill>
              <w14:schemeClr w14:val="tx1"/>
            </w14:solidFill>
          </w14:textFill>
        </w:rPr>
        <w:t>宝哲小区地块</w:t>
      </w:r>
    </w:p>
    <w:p>
      <w:pPr>
        <w:keepNext w:val="0"/>
        <w:keepLines w:val="0"/>
        <w:pageBreakBefore w:val="0"/>
        <w:widowControl w:val="0"/>
        <w:tabs>
          <w:tab w:val="left" w:pos="2500"/>
        </w:tabs>
        <w:kinsoku/>
        <w:wordWrap/>
        <w:overflowPunct/>
        <w:topLinePunct w:val="0"/>
        <w:autoSpaceDE/>
        <w:autoSpaceDN/>
        <w:bidi w:val="0"/>
        <w:adjustRightInd/>
        <w:snapToGrid w:val="0"/>
        <w:spacing w:before="10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pacing w:val="0"/>
          <w:position w:val="0"/>
          <w:sz w:val="52"/>
          <w:szCs w:val="52"/>
        </w:rPr>
      </w:pPr>
      <w:r>
        <w:rPr>
          <w:rFonts w:hint="default" w:ascii="Times New Roman" w:hAnsi="Times New Roman" w:cs="Times New Roman" w:eastAsiaTheme="minorEastAsia"/>
          <w:b/>
          <w:bCs/>
          <w:color w:val="auto"/>
          <w:spacing w:val="0"/>
          <w:position w:val="0"/>
          <w:sz w:val="52"/>
          <w:szCs w:val="52"/>
          <w:lang w:eastAsia="zh-CN"/>
        </w:rPr>
        <w:t>土壤污染状况初步</w:t>
      </w:r>
      <w:r>
        <w:rPr>
          <w:rFonts w:hint="default" w:ascii="Times New Roman" w:hAnsi="Times New Roman" w:cs="Times New Roman" w:eastAsiaTheme="minorEastAsia"/>
          <w:b/>
          <w:bCs/>
          <w:color w:val="auto"/>
          <w:spacing w:val="0"/>
          <w:position w:val="0"/>
          <w:sz w:val="52"/>
          <w:szCs w:val="52"/>
        </w:rPr>
        <w:t>调查报告</w:t>
      </w:r>
    </w:p>
    <w:p>
      <w:pPr>
        <w:ind w:firstLine="0" w:firstLineChars="0"/>
        <w:jc w:val="center"/>
        <w:rPr>
          <w:rFonts w:hint="eastAsia" w:ascii="Times New Roman" w:hAnsi="Times New Roman" w:cs="Times New Roman" w:eastAsiaTheme="minorEastAsia"/>
          <w:b/>
          <w:color w:val="000000" w:themeColor="text1"/>
          <w:sz w:val="52"/>
          <w:szCs w:val="52"/>
          <w:lang w:eastAsia="zh-CN"/>
          <w14:textFill>
            <w14:solidFill>
              <w14:schemeClr w14:val="tx1"/>
            </w14:solidFill>
          </w14:textFill>
        </w:rPr>
      </w:pPr>
      <w:r>
        <w:rPr>
          <w:rFonts w:hint="eastAsia" w:cs="Times New Roman" w:eastAsiaTheme="minorEastAsia"/>
          <w:b/>
          <w:color w:val="000000" w:themeColor="text1"/>
          <w:sz w:val="52"/>
          <w:szCs w:val="52"/>
          <w:lang w:eastAsia="zh-CN"/>
          <w14:textFill>
            <w14:solidFill>
              <w14:schemeClr w14:val="tx1"/>
            </w14:solidFill>
          </w14:textFill>
        </w:rPr>
        <w:t>（备案版）</w:t>
      </w: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pStyle w:val="5"/>
        <w:rPr>
          <w:rFonts w:hint="default" w:ascii="Times New Roman" w:hAnsi="Times New Roman" w:cs="Times New Roman" w:eastAsiaTheme="minorEastAsia"/>
          <w:b/>
          <w:color w:val="000000" w:themeColor="text1"/>
          <w:sz w:val="30"/>
          <w:szCs w:val="30"/>
          <w14:textFill>
            <w14:solidFill>
              <w14:schemeClr w14:val="tx1"/>
            </w14:solidFill>
          </w14:textFill>
        </w:rPr>
      </w:pPr>
    </w:p>
    <w:p>
      <w:pPr>
        <w:pStyle w:val="5"/>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ind w:firstLine="0" w:firstLineChars="0"/>
        <w:jc w:val="center"/>
        <w:rPr>
          <w:rFonts w:hint="default" w:ascii="Times New Roman" w:hAnsi="Times New Roman" w:cs="Times New Roman" w:eastAsiaTheme="minorEastAsia"/>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1506" w:firstLineChars="500"/>
        <w:jc w:val="left"/>
        <w:textAlignment w:val="auto"/>
        <w:outlineLvl w:val="9"/>
        <w:rPr>
          <w:rFonts w:hint="default" w:ascii="Times New Roman" w:hAnsi="Times New Roman" w:cs="Times New Roman" w:eastAsiaTheme="minorEastAsia"/>
          <w:b/>
          <w:bCs/>
          <w:color w:val="auto"/>
          <w:spacing w:val="0"/>
          <w:position w:val="0"/>
          <w:sz w:val="30"/>
          <w:szCs w:val="30"/>
          <w:highlight w:val="none"/>
        </w:rPr>
      </w:pPr>
      <w:r>
        <w:rPr>
          <w:rFonts w:hint="default" w:ascii="Times New Roman" w:hAnsi="Times New Roman" w:cs="Times New Roman" w:eastAsiaTheme="minorEastAsia"/>
          <w:b/>
          <w:bCs/>
          <w:color w:val="auto"/>
          <w:spacing w:val="0"/>
          <w:position w:val="0"/>
          <w:sz w:val="30"/>
          <w:szCs w:val="30"/>
        </w:rPr>
        <w:t>委托单位：衡水</w:t>
      </w:r>
      <w:r>
        <w:rPr>
          <w:rFonts w:hint="default" w:ascii="Times New Roman" w:hAnsi="Times New Roman" w:cs="Times New Roman" w:eastAsiaTheme="minorEastAsia"/>
          <w:b/>
          <w:bCs/>
          <w:color w:val="auto"/>
          <w:spacing w:val="0"/>
          <w:position w:val="0"/>
          <w:sz w:val="30"/>
          <w:szCs w:val="30"/>
          <w:lang w:eastAsia="zh-CN"/>
        </w:rPr>
        <w:t>宝哲金属制品</w:t>
      </w:r>
      <w:r>
        <w:rPr>
          <w:rFonts w:hint="default" w:ascii="Times New Roman" w:hAnsi="Times New Roman" w:cs="Times New Roman" w:eastAsiaTheme="minorEastAsia"/>
          <w:b/>
          <w:bCs/>
          <w:color w:val="auto"/>
          <w:spacing w:val="0"/>
          <w:position w:val="0"/>
          <w:sz w:val="30"/>
          <w:szCs w:val="30"/>
        </w:rPr>
        <w:t>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506" w:firstLineChars="500"/>
        <w:jc w:val="left"/>
        <w:textAlignment w:val="auto"/>
        <w:outlineLvl w:val="9"/>
        <w:rPr>
          <w:rFonts w:hint="default" w:ascii="Times New Roman" w:hAnsi="Times New Roman" w:cs="Times New Roman" w:eastAsiaTheme="minorEastAsia"/>
          <w:b/>
          <w:bCs/>
          <w:color w:val="auto"/>
          <w:spacing w:val="0"/>
          <w:position w:val="0"/>
          <w:sz w:val="30"/>
          <w:szCs w:val="30"/>
        </w:rPr>
      </w:pPr>
      <w:r>
        <w:rPr>
          <w:rFonts w:hint="default" w:ascii="Times New Roman" w:hAnsi="Times New Roman" w:cs="Times New Roman" w:eastAsiaTheme="minorEastAsia"/>
          <w:b/>
          <w:bCs/>
          <w:color w:val="auto"/>
          <w:spacing w:val="0"/>
          <w:position w:val="0"/>
          <w:sz w:val="30"/>
          <w:szCs w:val="30"/>
        </w:rPr>
        <w:t>编制单位：河北</w:t>
      </w:r>
      <w:r>
        <w:rPr>
          <w:rFonts w:hint="default" w:ascii="Times New Roman" w:hAnsi="Times New Roman" w:cs="Times New Roman" w:eastAsiaTheme="minorEastAsia"/>
          <w:b/>
          <w:bCs/>
          <w:color w:val="auto"/>
          <w:spacing w:val="0"/>
          <w:position w:val="0"/>
          <w:sz w:val="30"/>
          <w:szCs w:val="30"/>
          <w:lang w:eastAsia="zh-CN"/>
        </w:rPr>
        <w:t>地势坤土壤修复工程</w:t>
      </w:r>
      <w:r>
        <w:rPr>
          <w:rFonts w:hint="default" w:ascii="Times New Roman" w:hAnsi="Times New Roman" w:cs="Times New Roman" w:eastAsiaTheme="minorEastAsia"/>
          <w:b/>
          <w:bCs/>
          <w:color w:val="auto"/>
          <w:spacing w:val="0"/>
          <w:position w:val="0"/>
          <w:sz w:val="30"/>
          <w:szCs w:val="30"/>
        </w:rPr>
        <w:t>有限公司</w:t>
      </w:r>
    </w:p>
    <w:p>
      <w:pPr>
        <w:ind w:firstLine="1506" w:firstLineChars="500"/>
        <w:rPr>
          <w:rFonts w:hint="default" w:ascii="Times New Roman" w:hAnsi="Times New Roman" w:cs="Times New Roman" w:eastAsiaTheme="minorEastAsia"/>
          <w:b/>
          <w:bCs/>
          <w:color w:val="auto"/>
          <w:spacing w:val="0"/>
          <w:position w:val="0"/>
          <w:sz w:val="30"/>
          <w:szCs w:val="30"/>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eastAsiaTheme="minorEastAsia"/>
          <w:b/>
          <w:bCs/>
          <w:color w:val="auto"/>
          <w:spacing w:val="0"/>
          <w:position w:val="0"/>
          <w:sz w:val="30"/>
          <w:szCs w:val="30"/>
        </w:rPr>
        <w:t>编制日期：</w:t>
      </w:r>
      <w:r>
        <w:rPr>
          <w:rFonts w:hint="default" w:ascii="Times New Roman" w:hAnsi="Times New Roman" w:cs="Times New Roman" w:eastAsiaTheme="minorEastAsia"/>
          <w:b/>
          <w:bCs/>
          <w:color w:val="auto"/>
          <w:spacing w:val="0"/>
          <w:position w:val="0"/>
          <w:sz w:val="30"/>
          <w:szCs w:val="30"/>
          <w:lang w:val="en-US" w:eastAsia="zh-CN"/>
        </w:rPr>
        <w:t xml:space="preserve">    </w:t>
      </w:r>
      <w:r>
        <w:rPr>
          <w:rFonts w:hint="default" w:ascii="Times New Roman" w:hAnsi="Times New Roman" w:cs="Times New Roman" w:eastAsiaTheme="minorEastAsia"/>
          <w:b/>
          <w:bCs/>
          <w:color w:val="auto"/>
          <w:spacing w:val="0"/>
          <w:position w:val="0"/>
          <w:sz w:val="30"/>
          <w:szCs w:val="30"/>
        </w:rPr>
        <w:t>二</w:t>
      </w:r>
      <w:r>
        <w:rPr>
          <w:rFonts w:hint="default" w:ascii="Times New Roman" w:hAnsi="Times New Roman" w:cs="Times New Roman" w:eastAsiaTheme="minorEastAsia"/>
          <w:b/>
          <w:bCs/>
          <w:color w:val="auto"/>
          <w:spacing w:val="0"/>
          <w:position w:val="0"/>
          <w:sz w:val="30"/>
          <w:szCs w:val="30"/>
          <w:lang w:val="en-US" w:eastAsia="zh-CN"/>
        </w:rPr>
        <w:t xml:space="preserve"> </w:t>
      </w:r>
      <w:r>
        <w:rPr>
          <w:rFonts w:hint="default" w:ascii="Times New Roman" w:hAnsi="Times New Roman" w:cs="Times New Roman" w:eastAsiaTheme="minorEastAsia"/>
          <w:b/>
          <w:bCs/>
          <w:color w:val="auto"/>
          <w:spacing w:val="0"/>
          <w:position w:val="0"/>
          <w:sz w:val="30"/>
          <w:szCs w:val="30"/>
        </w:rPr>
        <w:t>〇</w:t>
      </w:r>
      <w:r>
        <w:rPr>
          <w:rFonts w:hint="default" w:ascii="Times New Roman" w:hAnsi="Times New Roman" w:cs="Times New Roman" w:eastAsiaTheme="minorEastAsia"/>
          <w:b/>
          <w:bCs/>
          <w:color w:val="auto"/>
          <w:spacing w:val="0"/>
          <w:position w:val="0"/>
          <w:sz w:val="30"/>
          <w:szCs w:val="30"/>
          <w:lang w:val="en-US" w:eastAsia="zh-CN"/>
        </w:rPr>
        <w:t xml:space="preserve"> </w:t>
      </w:r>
      <w:r>
        <w:rPr>
          <w:rFonts w:hint="default" w:ascii="Times New Roman" w:hAnsi="Times New Roman" w:cs="Times New Roman" w:eastAsiaTheme="minorEastAsia"/>
          <w:b/>
          <w:bCs/>
          <w:color w:val="auto"/>
          <w:spacing w:val="0"/>
          <w:position w:val="0"/>
          <w:sz w:val="30"/>
          <w:szCs w:val="30"/>
        </w:rPr>
        <w:t>一</w:t>
      </w:r>
      <w:r>
        <w:rPr>
          <w:rFonts w:hint="default" w:ascii="Times New Roman" w:hAnsi="Times New Roman" w:cs="Times New Roman" w:eastAsiaTheme="minorEastAsia"/>
          <w:b/>
          <w:bCs/>
          <w:color w:val="auto"/>
          <w:spacing w:val="0"/>
          <w:position w:val="0"/>
          <w:sz w:val="30"/>
          <w:szCs w:val="30"/>
          <w:lang w:val="en-US" w:eastAsia="zh-CN"/>
        </w:rPr>
        <w:t xml:space="preserve"> 九 </w:t>
      </w:r>
      <w:r>
        <w:rPr>
          <w:rFonts w:hint="default" w:ascii="Times New Roman" w:hAnsi="Times New Roman" w:cs="Times New Roman" w:eastAsiaTheme="minorEastAsia"/>
          <w:b/>
          <w:bCs/>
          <w:color w:val="auto"/>
          <w:spacing w:val="0"/>
          <w:position w:val="0"/>
          <w:sz w:val="30"/>
          <w:szCs w:val="30"/>
        </w:rPr>
        <w:t>年</w:t>
      </w:r>
      <w:r>
        <w:rPr>
          <w:rFonts w:hint="default" w:ascii="Times New Roman" w:hAnsi="Times New Roman" w:cs="Times New Roman" w:eastAsiaTheme="minorEastAsia"/>
          <w:b/>
          <w:bCs/>
          <w:color w:val="auto"/>
          <w:spacing w:val="0"/>
          <w:position w:val="0"/>
          <w:sz w:val="30"/>
          <w:szCs w:val="30"/>
          <w:lang w:val="en-US" w:eastAsia="zh-CN"/>
        </w:rPr>
        <w:t xml:space="preserve"> 十 二 </w:t>
      </w:r>
      <w:r>
        <w:rPr>
          <w:rFonts w:hint="default" w:ascii="Times New Roman" w:hAnsi="Times New Roman" w:cs="Times New Roman" w:eastAsiaTheme="minorEastAsia"/>
          <w:b/>
          <w:bCs/>
          <w:color w:val="auto"/>
          <w:spacing w:val="0"/>
          <w:position w:val="0"/>
          <w:sz w:val="30"/>
          <w:szCs w:val="30"/>
        </w:rPr>
        <w:t>月</w:t>
      </w:r>
      <w:r>
        <w:rPr>
          <w:rFonts w:hint="default" w:ascii="Times New Roman" w:hAnsi="Times New Roman" w:cs="Times New Roman" w:eastAsiaTheme="minorEastAsia"/>
          <w:b/>
          <w:bCs/>
          <w:color w:val="auto"/>
          <w:spacing w:val="0"/>
          <w:position w:val="0"/>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rPr>
      </w:pPr>
      <w:bookmarkStart w:id="0" w:name="_Toc12503_WPSOffice_Level2"/>
      <w:bookmarkStart w:id="1" w:name="_Toc4384"/>
      <w:bookmarkStart w:id="2" w:name="_Toc17738"/>
      <w:bookmarkStart w:id="3" w:name="_Toc32218"/>
      <w:bookmarkStart w:id="4" w:name="_Toc18672_WPSOffice_Level2"/>
      <w:bookmarkStart w:id="5" w:name="_Toc6874"/>
      <w:r>
        <w:rPr>
          <w:rFonts w:hint="default" w:ascii="Times New Roman" w:hAnsi="Times New Roman" w:cs="Times New Roman" w:eastAsiaTheme="minorEastAsia"/>
          <w:sz w:val="24"/>
        </w:rPr>
        <w:t>根据</w:t>
      </w:r>
      <w:r>
        <w:rPr>
          <w:rFonts w:hint="default" w:ascii="Times New Roman" w:hAnsi="Times New Roman" w:cs="Times New Roman" w:eastAsiaTheme="minorEastAsia"/>
          <w:sz w:val="24"/>
          <w:lang w:eastAsia="zh-CN"/>
        </w:rPr>
        <w:t>国家及河北省相关</w:t>
      </w:r>
      <w:r>
        <w:rPr>
          <w:rFonts w:hint="default" w:ascii="Times New Roman" w:hAnsi="Times New Roman" w:cs="Times New Roman" w:eastAsiaTheme="minorEastAsia"/>
          <w:sz w:val="24"/>
        </w:rPr>
        <w:t>文件的要求，本</w:t>
      </w:r>
      <w:r>
        <w:rPr>
          <w:rFonts w:hint="default" w:ascii="Times New Roman" w:hAnsi="Times New Roman" w:cs="Times New Roman" w:eastAsiaTheme="minorEastAsia"/>
          <w:sz w:val="24"/>
          <w:lang w:eastAsia="zh-CN"/>
        </w:rPr>
        <w:t>项目</w:t>
      </w:r>
      <w:r>
        <w:rPr>
          <w:rFonts w:hint="default" w:ascii="Times New Roman" w:hAnsi="Times New Roman" w:cs="Times New Roman" w:eastAsiaTheme="minorEastAsia"/>
          <w:sz w:val="24"/>
        </w:rPr>
        <w:t>根据《</w:t>
      </w:r>
      <w:r>
        <w:rPr>
          <w:rFonts w:hint="default" w:ascii="Times New Roman" w:hAnsi="Times New Roman" w:cs="Times New Roman" w:eastAsiaTheme="minorEastAsia"/>
          <w:sz w:val="24"/>
          <w:lang w:eastAsia="zh-CN"/>
        </w:rPr>
        <w:t>建设用地土壤污染状况调查技术</w:t>
      </w:r>
      <w:r>
        <w:rPr>
          <w:rFonts w:hint="default" w:ascii="Times New Roman" w:hAnsi="Times New Roman" w:cs="Times New Roman" w:eastAsiaTheme="minorEastAsia"/>
          <w:sz w:val="24"/>
        </w:rPr>
        <w:t>导则》等相关规范要求对</w:t>
      </w:r>
      <w:r>
        <w:rPr>
          <w:rFonts w:hint="default" w:ascii="Times New Roman" w:hAnsi="Times New Roman" w:cs="Times New Roman" w:eastAsiaTheme="minorEastAsia"/>
          <w:sz w:val="24"/>
          <w:lang w:eastAsia="zh-CN"/>
        </w:rPr>
        <w:t>宝哲小区地块土壤</w:t>
      </w:r>
      <w:r>
        <w:rPr>
          <w:rFonts w:hint="default" w:ascii="Times New Roman" w:hAnsi="Times New Roman" w:cs="Times New Roman" w:eastAsiaTheme="minorEastAsia"/>
          <w:sz w:val="24"/>
        </w:rPr>
        <w:t>进行了</w:t>
      </w:r>
      <w:r>
        <w:rPr>
          <w:rFonts w:hint="default" w:ascii="Times New Roman" w:hAnsi="Times New Roman" w:cs="Times New Roman" w:eastAsiaTheme="minorEastAsia"/>
          <w:sz w:val="24"/>
          <w:lang w:eastAsia="zh-CN"/>
        </w:rPr>
        <w:t>污染状况</w:t>
      </w:r>
      <w:r>
        <w:rPr>
          <w:rFonts w:hint="default" w:ascii="Times New Roman" w:hAnsi="Times New Roman" w:cs="Times New Roman" w:eastAsiaTheme="minorEastAsia"/>
          <w:sz w:val="24"/>
        </w:rPr>
        <w:t>调查。</w:t>
      </w:r>
    </w:p>
    <w:p>
      <w:pPr>
        <w:pStyle w:val="8"/>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rPr>
        <w:t>本次</w:t>
      </w:r>
      <w:r>
        <w:rPr>
          <w:rFonts w:hint="default" w:ascii="Times New Roman" w:hAnsi="Times New Roman" w:cs="Times New Roman" w:eastAsiaTheme="minorEastAsia"/>
          <w:lang w:eastAsia="zh-CN"/>
        </w:rPr>
        <w:t>建设用地</w:t>
      </w:r>
      <w:r>
        <w:rPr>
          <w:rFonts w:hint="default" w:ascii="Times New Roman" w:hAnsi="Times New Roman" w:cs="Times New Roman" w:eastAsiaTheme="minorEastAsia"/>
        </w:rPr>
        <w:t>调查的对象为</w:t>
      </w:r>
      <w:r>
        <w:rPr>
          <w:rFonts w:hint="default" w:ascii="Times New Roman" w:hAnsi="Times New Roman" w:cs="Times New Roman" w:eastAsiaTheme="minorEastAsia"/>
          <w:lang w:eastAsia="zh-CN"/>
        </w:rPr>
        <w:t>宝哲小区地块</w:t>
      </w:r>
      <w:r>
        <w:rPr>
          <w:rFonts w:hint="default" w:ascii="Times New Roman" w:hAnsi="Times New Roman" w:cs="Times New Roman" w:eastAsiaTheme="minorEastAsia"/>
        </w:rPr>
        <w:t>，</w:t>
      </w:r>
      <w:r>
        <w:rPr>
          <w:rFonts w:hint="default" w:ascii="Times New Roman" w:hAnsi="Times New Roman" w:cs="Times New Roman" w:eastAsiaTheme="minorEastAsia"/>
          <w:color w:val="000000" w:themeColor="text1"/>
          <w:lang w:eastAsia="zh-CN"/>
          <w14:textFill>
            <w14:solidFill>
              <w14:schemeClr w14:val="tx1"/>
            </w14:solidFill>
          </w14:textFill>
        </w:rPr>
        <w:t>宝哲小区地块位于衡水市高新技术产业开发区</w:t>
      </w:r>
      <w:r>
        <w:rPr>
          <w:rFonts w:hint="default" w:ascii="Times New Roman" w:hAnsi="Times New Roman" w:cs="Times New Roman" w:eastAsiaTheme="minorEastAsia"/>
          <w:color w:val="000000" w:themeColor="text1"/>
          <w:lang w:val="en-US" w:eastAsia="zh-CN"/>
          <w14:textFill>
            <w14:solidFill>
              <w14:schemeClr w14:val="tx1"/>
            </w14:solidFill>
          </w14:textFill>
        </w:rPr>
        <w:t>2766号，胜利西路</w:t>
      </w:r>
      <w:r>
        <w:rPr>
          <w:rFonts w:hint="default" w:ascii="Times New Roman" w:hAnsi="Times New Roman" w:cs="Times New Roman" w:eastAsiaTheme="minorEastAsia"/>
          <w:color w:val="000000" w:themeColor="text1"/>
          <w:lang w:eastAsia="zh-CN"/>
          <w14:textFill>
            <w14:solidFill>
              <w14:schemeClr w14:val="tx1"/>
            </w14:solidFill>
          </w14:textFill>
        </w:rPr>
        <w:t>以北，顺平街以西，衡水宝哲金属制品有限公司（以下简称“宝哲制品”）厂区南部</w:t>
      </w:r>
      <w:r>
        <w:rPr>
          <w:rFonts w:hint="default" w:ascii="Times New Roman" w:hAnsi="Times New Roman" w:cs="Times New Roman" w:eastAsiaTheme="minorEastAsia"/>
          <w:color w:val="000000" w:themeColor="text1"/>
          <w:lang w:val="en-US" w:eastAsia="zh-CN"/>
          <w14:textFill>
            <w14:solidFill>
              <w14:schemeClr w14:val="tx1"/>
            </w14:solidFill>
          </w14:textFill>
        </w:rPr>
        <w:t>，地块</w:t>
      </w:r>
      <w:r>
        <w:rPr>
          <w:rFonts w:hint="default" w:ascii="Times New Roman" w:hAnsi="Times New Roman" w:cs="Times New Roman" w:eastAsiaTheme="minorEastAsia"/>
          <w:bCs/>
          <w:kern w:val="0"/>
          <w:szCs w:val="24"/>
          <w:highlight w:val="none"/>
        </w:rPr>
        <w:t>中心坐标为N37°</w:t>
      </w:r>
      <w:r>
        <w:rPr>
          <w:rFonts w:hint="default" w:ascii="Times New Roman" w:hAnsi="Times New Roman" w:cs="Times New Roman" w:eastAsiaTheme="minorEastAsia"/>
          <w:bCs/>
          <w:kern w:val="0"/>
          <w:szCs w:val="24"/>
          <w:highlight w:val="none"/>
          <w:lang w:val="en-US" w:eastAsia="zh-CN"/>
        </w:rPr>
        <w:t>44</w:t>
      </w:r>
      <w:r>
        <w:rPr>
          <w:rFonts w:hint="default" w:ascii="Times New Roman" w:hAnsi="Times New Roman" w:cs="Times New Roman" w:eastAsiaTheme="minorEastAsia"/>
          <w:bCs/>
          <w:kern w:val="0"/>
          <w:szCs w:val="24"/>
          <w:highlight w:val="none"/>
        </w:rPr>
        <w:t>′</w:t>
      </w:r>
      <w:r>
        <w:rPr>
          <w:rFonts w:hint="default" w:ascii="Times New Roman" w:hAnsi="Times New Roman" w:cs="Times New Roman" w:eastAsiaTheme="minorEastAsia"/>
          <w:bCs/>
          <w:kern w:val="0"/>
          <w:szCs w:val="24"/>
          <w:highlight w:val="none"/>
          <w:lang w:val="en-US" w:eastAsia="zh-CN"/>
        </w:rPr>
        <w:t>17</w:t>
      </w:r>
      <w:r>
        <w:rPr>
          <w:rFonts w:hint="default" w:ascii="Times New Roman" w:hAnsi="Times New Roman" w:cs="Times New Roman" w:eastAsiaTheme="minorEastAsia"/>
          <w:bCs/>
          <w:kern w:val="0"/>
          <w:szCs w:val="24"/>
          <w:highlight w:val="none"/>
        </w:rPr>
        <w:t>.</w:t>
      </w:r>
      <w:r>
        <w:rPr>
          <w:rFonts w:hint="default" w:ascii="Times New Roman" w:hAnsi="Times New Roman" w:cs="Times New Roman" w:eastAsiaTheme="minorEastAsia"/>
          <w:bCs/>
          <w:kern w:val="0"/>
          <w:szCs w:val="24"/>
          <w:highlight w:val="none"/>
          <w:lang w:val="en-US" w:eastAsia="zh-CN"/>
        </w:rPr>
        <w:t>09</w:t>
      </w:r>
      <w:r>
        <w:rPr>
          <w:rFonts w:hint="default" w:ascii="Times New Roman" w:hAnsi="Times New Roman" w:cs="Times New Roman" w:eastAsiaTheme="minorEastAsia"/>
          <w:bCs/>
          <w:kern w:val="0"/>
          <w:szCs w:val="24"/>
          <w:highlight w:val="none"/>
        </w:rPr>
        <w:t>″，E115°</w:t>
      </w:r>
      <w:r>
        <w:rPr>
          <w:rFonts w:hint="default" w:ascii="Times New Roman" w:hAnsi="Times New Roman" w:cs="Times New Roman" w:eastAsiaTheme="minorEastAsia"/>
          <w:bCs/>
          <w:kern w:val="0"/>
          <w:szCs w:val="24"/>
          <w:highlight w:val="none"/>
          <w:lang w:val="en-US" w:eastAsia="zh-CN"/>
        </w:rPr>
        <w:t>37</w:t>
      </w:r>
      <w:r>
        <w:rPr>
          <w:rFonts w:hint="default" w:ascii="Times New Roman" w:hAnsi="Times New Roman" w:cs="Times New Roman" w:eastAsiaTheme="minorEastAsia"/>
          <w:bCs/>
          <w:kern w:val="0"/>
          <w:szCs w:val="24"/>
          <w:highlight w:val="none"/>
        </w:rPr>
        <w:t>′</w:t>
      </w:r>
      <w:r>
        <w:rPr>
          <w:rFonts w:hint="default" w:ascii="Times New Roman" w:hAnsi="Times New Roman" w:cs="Times New Roman" w:eastAsiaTheme="minorEastAsia"/>
          <w:bCs/>
          <w:kern w:val="0"/>
          <w:szCs w:val="24"/>
          <w:highlight w:val="none"/>
          <w:lang w:val="en-US" w:eastAsia="zh-CN"/>
        </w:rPr>
        <w:t>9</w:t>
      </w:r>
      <w:r>
        <w:rPr>
          <w:rFonts w:hint="default" w:ascii="Times New Roman" w:hAnsi="Times New Roman" w:cs="Times New Roman" w:eastAsiaTheme="minorEastAsia"/>
          <w:bCs/>
          <w:kern w:val="0"/>
          <w:szCs w:val="24"/>
          <w:highlight w:val="none"/>
        </w:rPr>
        <w:t>.</w:t>
      </w:r>
      <w:r>
        <w:rPr>
          <w:rFonts w:hint="default" w:ascii="Times New Roman" w:hAnsi="Times New Roman" w:cs="Times New Roman" w:eastAsiaTheme="minorEastAsia"/>
          <w:bCs/>
          <w:kern w:val="0"/>
          <w:szCs w:val="24"/>
          <w:highlight w:val="none"/>
          <w:lang w:val="en-US" w:eastAsia="zh-CN"/>
        </w:rPr>
        <w:t>58</w:t>
      </w:r>
      <w:r>
        <w:rPr>
          <w:rFonts w:hint="default" w:ascii="Times New Roman" w:hAnsi="Times New Roman" w:cs="Times New Roman" w:eastAsiaTheme="minorEastAsia"/>
          <w:bCs/>
          <w:kern w:val="0"/>
          <w:szCs w:val="24"/>
          <w:highlight w:val="none"/>
        </w:rPr>
        <w:t>″</w:t>
      </w:r>
      <w:r>
        <w:rPr>
          <w:rFonts w:hint="default" w:ascii="Times New Roman" w:hAnsi="Times New Roman" w:cs="Times New Roman" w:eastAsiaTheme="minorEastAsia"/>
          <w:bCs/>
          <w:kern w:val="0"/>
          <w:szCs w:val="24"/>
          <w:highlight w:val="none"/>
          <w:lang w:eastAsia="zh-CN"/>
        </w:rPr>
        <w:t>，</w:t>
      </w:r>
      <w:r>
        <w:rPr>
          <w:rFonts w:hint="default" w:ascii="Times New Roman" w:hAnsi="Times New Roman" w:cs="Times New Roman" w:eastAsiaTheme="minorEastAsia"/>
          <w:sz w:val="24"/>
          <w:szCs w:val="24"/>
          <w:lang w:eastAsia="zh-CN"/>
        </w:rPr>
        <w:t>本次调查地块</w:t>
      </w:r>
      <w:r>
        <w:rPr>
          <w:rFonts w:hint="default" w:ascii="Times New Roman" w:hAnsi="Times New Roman" w:cs="Times New Roman" w:eastAsiaTheme="minorEastAsia"/>
          <w:color w:val="000000" w:themeColor="text1"/>
          <w:szCs w:val="24"/>
          <w14:textFill>
            <w14:solidFill>
              <w14:schemeClr w14:val="tx1"/>
            </w14:solidFill>
          </w14:textFill>
        </w:rPr>
        <w:t>总</w:t>
      </w:r>
      <w:r>
        <w:rPr>
          <w:rFonts w:hint="default" w:ascii="Times New Roman" w:hAnsi="Times New Roman" w:cs="Times New Roman" w:eastAsiaTheme="minorEastAsia"/>
          <w:color w:val="000000" w:themeColor="text1"/>
          <w:szCs w:val="24"/>
          <w:lang w:eastAsia="zh-CN"/>
          <w14:textFill>
            <w14:solidFill>
              <w14:schemeClr w14:val="tx1"/>
            </w14:solidFill>
          </w14:textFill>
        </w:rPr>
        <w:t>占地</w:t>
      </w:r>
      <w:r>
        <w:rPr>
          <w:rFonts w:hint="default" w:ascii="Times New Roman" w:hAnsi="Times New Roman" w:cs="Times New Roman" w:eastAsiaTheme="minorEastAsia"/>
          <w:color w:val="000000" w:themeColor="text1"/>
          <w:szCs w:val="24"/>
          <w14:textFill>
            <w14:solidFill>
              <w14:schemeClr w14:val="tx1"/>
            </w14:solidFill>
          </w14:textFill>
        </w:rPr>
        <w:t>面积</w:t>
      </w:r>
      <w:r>
        <w:rPr>
          <w:rFonts w:hint="default" w:ascii="Times New Roman" w:hAnsi="Times New Roman" w:cs="Times New Roman" w:eastAsiaTheme="minorEastAsia"/>
          <w:color w:val="000000" w:themeColor="text1"/>
          <w:szCs w:val="24"/>
          <w:lang w:val="en-US" w:eastAsia="zh-CN"/>
          <w14:textFill>
            <w14:solidFill>
              <w14:schemeClr w14:val="tx1"/>
            </w14:solidFill>
          </w14:textFill>
        </w:rPr>
        <w:t>9232.53</w:t>
      </w:r>
      <w:r>
        <w:rPr>
          <w:rFonts w:hint="default" w:ascii="Times New Roman" w:hAnsi="Times New Roman" w:cs="Times New Roman" w:eastAsiaTheme="minorEastAsia"/>
          <w:color w:val="000000" w:themeColor="text1"/>
          <w:szCs w:val="24"/>
          <w14:textFill>
            <w14:solidFill>
              <w14:schemeClr w14:val="tx1"/>
            </w14:solidFill>
          </w14:textFill>
        </w:rPr>
        <w:t>m</w:t>
      </w:r>
      <w:r>
        <w:rPr>
          <w:rFonts w:hint="default" w:ascii="Times New Roman" w:hAnsi="Times New Roman" w:cs="Times New Roman" w:eastAsiaTheme="minorEastAsia"/>
          <w:color w:val="000000" w:themeColor="text1"/>
          <w:szCs w:val="24"/>
          <w:vertAlign w:val="superscript"/>
          <w14:textFill>
            <w14:solidFill>
              <w14:schemeClr w14:val="tx1"/>
            </w14:solidFill>
          </w14:textFill>
        </w:rPr>
        <w:t>2</w:t>
      </w:r>
      <w:r>
        <w:rPr>
          <w:rFonts w:hint="default" w:ascii="Times New Roman" w:hAnsi="Times New Roman" w:cs="Times New Roman" w:eastAsiaTheme="minorEastAsia"/>
          <w:color w:val="000000" w:themeColor="text1"/>
          <w:szCs w:val="24"/>
          <w:lang w:eastAsia="zh-CN"/>
          <w14:textFill>
            <w14:solidFill>
              <w14:schemeClr w14:val="tx1"/>
            </w14:solidFill>
          </w14:textFill>
        </w:rPr>
        <w:t>。</w:t>
      </w:r>
      <w:r>
        <w:rPr>
          <w:rFonts w:hint="default" w:ascii="Times New Roman" w:hAnsi="Times New Roman" w:cs="Times New Roman" w:eastAsiaTheme="minorEastAsia"/>
          <w:color w:val="000000" w:themeColor="text1"/>
          <w:spacing w:val="5"/>
          <w:szCs w:val="24"/>
          <w:lang w:eastAsia="zh-CN"/>
          <w14:textFill>
            <w14:solidFill>
              <w14:schemeClr w14:val="tx1"/>
            </w14:solidFill>
          </w14:textFill>
        </w:rPr>
        <w:t>地块</w:t>
      </w:r>
      <w:r>
        <w:rPr>
          <w:rFonts w:hint="default" w:ascii="Times New Roman" w:hAnsi="Times New Roman" w:cs="Times New Roman" w:eastAsiaTheme="minorEastAsia"/>
          <w:color w:val="000000" w:themeColor="text1"/>
          <w:spacing w:val="5"/>
          <w:szCs w:val="24"/>
          <w14:textFill>
            <w14:solidFill>
              <w14:schemeClr w14:val="tx1"/>
            </w14:solidFill>
          </w14:textFill>
        </w:rPr>
        <w:t>所在区域早期为</w:t>
      </w:r>
      <w:r>
        <w:rPr>
          <w:rFonts w:hint="default" w:ascii="Times New Roman" w:hAnsi="Times New Roman" w:cs="Times New Roman" w:eastAsiaTheme="minorEastAsia"/>
          <w:color w:val="000000" w:themeColor="text1"/>
          <w:spacing w:val="5"/>
          <w:szCs w:val="24"/>
          <w:lang w:eastAsia="zh-CN"/>
          <w14:textFill>
            <w14:solidFill>
              <w14:schemeClr w14:val="tx1"/>
            </w14:solidFill>
          </w14:textFill>
        </w:rPr>
        <w:t>农田</w:t>
      </w:r>
      <w:r>
        <w:rPr>
          <w:rFonts w:hint="default" w:ascii="Times New Roman" w:hAnsi="Times New Roman" w:cs="Times New Roman" w:eastAsiaTheme="minorEastAsia"/>
          <w:color w:val="000000" w:themeColor="text1"/>
          <w:spacing w:val="5"/>
          <w:szCs w:val="24"/>
          <w14:textFill>
            <w14:solidFill>
              <w14:schemeClr w14:val="tx1"/>
            </w14:solidFill>
          </w14:textFill>
        </w:rPr>
        <w:t>，</w:t>
      </w:r>
      <w:r>
        <w:rPr>
          <w:rFonts w:hint="default" w:ascii="Times New Roman" w:hAnsi="Times New Roman" w:cs="Times New Roman" w:eastAsiaTheme="minorEastAsia"/>
          <w:bCs/>
          <w:kern w:val="0"/>
          <w:szCs w:val="24"/>
          <w:highlight w:val="none"/>
          <w:lang w:val="en-US" w:eastAsia="zh-CN"/>
        </w:rPr>
        <w:t>2004年</w:t>
      </w:r>
      <w:r>
        <w:rPr>
          <w:rFonts w:hint="default" w:ascii="Times New Roman" w:hAnsi="Times New Roman" w:cs="Times New Roman" w:eastAsiaTheme="minorEastAsia"/>
          <w:bCs/>
          <w:kern w:val="0"/>
          <w:szCs w:val="24"/>
          <w:highlight w:val="none"/>
          <w:lang w:eastAsia="zh-CN"/>
        </w:rPr>
        <w:t>衡水宝力集团取得该地块及周边土地使用权，地块由</w:t>
      </w:r>
      <w:bookmarkStart w:id="42" w:name="_GoBack"/>
      <w:bookmarkEnd w:id="42"/>
      <w:r>
        <w:rPr>
          <w:rFonts w:hint="default" w:ascii="Times New Roman" w:hAnsi="Times New Roman" w:cs="Times New Roman" w:eastAsiaTheme="minorEastAsia"/>
          <w:bCs/>
          <w:kern w:val="0"/>
          <w:szCs w:val="24"/>
          <w:highlight w:val="none"/>
          <w:lang w:eastAsia="zh-CN"/>
        </w:rPr>
        <w:t>农业用地转变为工业性质用地，宝力集团共有衡水宝力工程橡胶有限公司（顺平街厂区）、衡水宝力工程塑料有限公司和衡水宝力铁路电气化器材有限公司三家公司组成，</w:t>
      </w:r>
      <w:r>
        <w:rPr>
          <w:rFonts w:hint="default" w:ascii="Times New Roman" w:hAnsi="Times New Roman" w:cs="Times New Roman" w:eastAsiaTheme="minorEastAsia"/>
          <w:bCs/>
          <w:kern w:val="0"/>
          <w:szCs w:val="24"/>
          <w:highlight w:val="none"/>
          <w:lang w:val="en-US" w:eastAsia="zh-CN"/>
        </w:rPr>
        <w:t>2011年在调查地块建成综合楼一栋，职工宿舍楼两栋</w:t>
      </w:r>
      <w:r>
        <w:rPr>
          <w:rFonts w:hint="default" w:ascii="Times New Roman" w:hAnsi="Times New Roman" w:cs="Times New Roman" w:eastAsiaTheme="minorEastAsia"/>
          <w:bCs/>
          <w:kern w:val="0"/>
          <w:szCs w:val="24"/>
          <w:highlight w:val="none"/>
          <w:lang w:eastAsia="zh-CN"/>
        </w:rPr>
        <w:t>，</w:t>
      </w:r>
      <w:r>
        <w:rPr>
          <w:rFonts w:hint="default" w:ascii="Times New Roman" w:hAnsi="Times New Roman" w:cs="Times New Roman" w:eastAsiaTheme="minorEastAsia"/>
          <w:bCs/>
          <w:kern w:val="0"/>
          <w:szCs w:val="24"/>
          <w:highlight w:val="none"/>
          <w:lang w:val="en-US" w:eastAsia="zh-CN"/>
        </w:rPr>
        <w:t>2016年该地块土地使用权出让给</w:t>
      </w:r>
      <w:r>
        <w:rPr>
          <w:rFonts w:hint="default" w:ascii="Times New Roman" w:hAnsi="Times New Roman" w:cs="Times New Roman" w:eastAsiaTheme="minorEastAsia"/>
          <w:color w:val="000000" w:themeColor="text1"/>
          <w:lang w:eastAsia="zh-CN"/>
          <w14:textFill>
            <w14:solidFill>
              <w14:schemeClr w14:val="tx1"/>
            </w14:solidFill>
          </w14:textFill>
        </w:rPr>
        <w:t>衡水宝哲金属制品有限公司</w:t>
      </w:r>
      <w:r>
        <w:rPr>
          <w:rFonts w:hint="default" w:ascii="Times New Roman" w:hAnsi="Times New Roman" w:cs="Times New Roman" w:eastAsiaTheme="minorEastAsia"/>
          <w:bCs/>
          <w:kern w:val="0"/>
          <w:szCs w:val="24"/>
          <w:highlight w:val="none"/>
          <w:lang w:val="en-US" w:eastAsia="zh-CN"/>
        </w:rPr>
        <w:t>。</w:t>
      </w:r>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0" w:after="0" w:line="360" w:lineRule="auto"/>
        <w:ind w:leftChars="0"/>
        <w:textAlignment w:val="auto"/>
        <w:outlineLvl w:val="1"/>
        <w:rPr>
          <w:rFonts w:hint="default" w:ascii="Times New Roman" w:hAnsi="Times New Roman" w:cs="Times New Roman" w:eastAsiaTheme="minorEastAsia"/>
          <w:color w:val="auto"/>
          <w:sz w:val="30"/>
          <w:szCs w:val="30"/>
          <w:highlight w:val="none"/>
          <w:lang w:val="en-US" w:eastAsia="zh-CN"/>
        </w:rPr>
      </w:pPr>
      <w:bookmarkStart w:id="6" w:name="_Toc470516037"/>
      <w:bookmarkStart w:id="7" w:name="_Toc463947389"/>
      <w:bookmarkStart w:id="8" w:name="_Toc445568521"/>
      <w:bookmarkStart w:id="9" w:name="_Toc3092"/>
      <w:bookmarkStart w:id="10" w:name="_Toc5090"/>
      <w:bookmarkStart w:id="11" w:name="_Toc29704"/>
      <w:bookmarkStart w:id="12" w:name="_Toc28721"/>
      <w:bookmarkStart w:id="13" w:name="_Toc7064"/>
      <w:bookmarkStart w:id="14" w:name="_Toc439665169"/>
      <w:r>
        <w:rPr>
          <w:rFonts w:hint="default" w:ascii="Times New Roman" w:hAnsi="Times New Roman" w:cs="Times New Roman" w:eastAsiaTheme="minorEastAsia"/>
          <w:color w:val="auto"/>
          <w:sz w:val="30"/>
          <w:szCs w:val="30"/>
          <w:highlight w:val="none"/>
          <w:lang w:val="en-US" w:eastAsia="zh-CN"/>
        </w:rPr>
        <w:t>7.1 土壤污染识别</w:t>
      </w:r>
      <w:bookmarkEnd w:id="6"/>
      <w:bookmarkEnd w:id="7"/>
      <w:bookmarkEnd w:id="8"/>
      <w:r>
        <w:rPr>
          <w:rFonts w:hint="default" w:ascii="Times New Roman" w:hAnsi="Times New Roman" w:cs="Times New Roman" w:eastAsiaTheme="minorEastAsia"/>
          <w:color w:val="auto"/>
          <w:sz w:val="30"/>
          <w:szCs w:val="30"/>
          <w:highlight w:val="none"/>
          <w:lang w:val="en-US" w:eastAsia="zh-CN"/>
        </w:rPr>
        <w:t>结论</w:t>
      </w:r>
      <w:bookmarkEnd w:id="9"/>
      <w:bookmarkEnd w:id="10"/>
      <w:bookmarkEnd w:id="11"/>
      <w:bookmarkEnd w:id="12"/>
    </w:p>
    <w:p>
      <w:pPr>
        <w:pStyle w:val="9"/>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cs="Times New Roman" w:eastAsiaTheme="minorEastAsia"/>
          <w:kern w:val="0"/>
          <w:sz w:val="24"/>
          <w:szCs w:val="24"/>
          <w:lang w:val="zh-CN"/>
        </w:rPr>
      </w:pPr>
      <w:r>
        <w:rPr>
          <w:rFonts w:hint="default" w:ascii="Times New Roman" w:hAnsi="Times New Roman" w:cs="Times New Roman" w:eastAsiaTheme="minorEastAsia"/>
          <w:color w:val="000000" w:themeColor="text1"/>
          <w:highlight w:val="none"/>
          <w14:textFill>
            <w14:solidFill>
              <w14:schemeClr w14:val="tx1"/>
            </w14:solidFill>
          </w14:textFill>
        </w:rPr>
        <w:t>通过</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资料收集、现场踏勘与人员访谈，本地块未进行过生产活动，分析周边相邻企业</w:t>
      </w:r>
      <w:r>
        <w:rPr>
          <w:rFonts w:hint="default" w:ascii="Times New Roman" w:hAnsi="Times New Roman" w:cs="Times New Roman" w:eastAsiaTheme="minorEastAsia"/>
          <w:color w:val="000000" w:themeColor="text1"/>
          <w:highlight w:val="none"/>
          <w14:textFill>
            <w14:solidFill>
              <w14:schemeClr w14:val="tx1"/>
            </w14:solidFill>
          </w14:textFill>
        </w:rPr>
        <w:t>历史生产情况、生产过程中涉及到主要原辅材料种类、生产工艺、相关污染物产生及处理情况等，初步</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认为可能导致土壤污染的主要途径为大气沉降，潜在污染物为重金属、苯系物、多环芳烃。</w:t>
      </w:r>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0" w:after="0" w:line="360" w:lineRule="auto"/>
        <w:ind w:leftChars="0"/>
        <w:textAlignment w:val="auto"/>
        <w:outlineLvl w:val="1"/>
        <w:rPr>
          <w:rFonts w:hint="default" w:ascii="Times New Roman" w:hAnsi="Times New Roman" w:cs="Times New Roman" w:eastAsiaTheme="minorEastAsia"/>
          <w:color w:val="auto"/>
          <w:sz w:val="30"/>
          <w:szCs w:val="30"/>
          <w:highlight w:val="none"/>
          <w:lang w:val="en-US" w:eastAsia="zh-CN"/>
        </w:rPr>
      </w:pPr>
      <w:bookmarkStart w:id="15" w:name="_Toc12536"/>
      <w:bookmarkStart w:id="16" w:name="_Toc445568522"/>
      <w:bookmarkStart w:id="17" w:name="_Toc470516038"/>
      <w:bookmarkStart w:id="18" w:name="_Toc463947390"/>
      <w:bookmarkStart w:id="19" w:name="_Toc25467"/>
      <w:bookmarkStart w:id="20" w:name="_Toc5399"/>
      <w:bookmarkStart w:id="21" w:name="_Toc11836"/>
      <w:r>
        <w:rPr>
          <w:rFonts w:hint="default" w:ascii="Times New Roman" w:hAnsi="Times New Roman" w:cs="Times New Roman" w:eastAsiaTheme="minorEastAsia"/>
          <w:color w:val="auto"/>
          <w:sz w:val="30"/>
          <w:szCs w:val="30"/>
          <w:highlight w:val="none"/>
          <w:lang w:val="en-US" w:eastAsia="zh-CN"/>
        </w:rPr>
        <w:t>7.2 土壤检测结果</w:t>
      </w:r>
      <w:bookmarkEnd w:id="15"/>
      <w:bookmarkEnd w:id="16"/>
      <w:bookmarkEnd w:id="17"/>
      <w:bookmarkEnd w:id="18"/>
      <w:bookmarkEnd w:id="19"/>
      <w:bookmarkEnd w:id="20"/>
      <w:bookmarkEnd w:id="21"/>
    </w:p>
    <w:p>
      <w:pPr>
        <w:keepNext w:val="0"/>
        <w:keepLines w:val="0"/>
        <w:pageBreakBefore w:val="0"/>
        <w:widowControl w:val="0"/>
        <w:kinsoku/>
        <w:wordWrap/>
        <w:overflowPunct/>
        <w:topLinePunct w:val="0"/>
        <w:autoSpaceDE/>
        <w:autoSpaceDN/>
        <w:bidi w:val="0"/>
        <w:adjustRightInd/>
        <w:snapToGrid/>
        <w:ind w:firstLine="480"/>
        <w:jc w:val="both"/>
        <w:textAlignment w:val="auto"/>
        <w:outlineLvl w:val="9"/>
        <w:rPr>
          <w:rFonts w:hint="default" w:ascii="Times New Roman" w:hAnsi="Times New Roman" w:cs="Times New Roman" w:eastAsiaTheme="minorEastAsia"/>
          <w:color w:val="auto"/>
          <w:szCs w:val="24"/>
          <w:highlight w:val="yellow"/>
          <w:lang w:eastAsia="zh-CN"/>
        </w:rPr>
      </w:pPr>
      <w:r>
        <w:rPr>
          <w:rFonts w:hint="default" w:ascii="Times New Roman" w:hAnsi="Times New Roman" w:cs="Times New Roman" w:eastAsiaTheme="minorEastAsia"/>
          <w:color w:val="auto"/>
          <w:highlight w:val="none"/>
          <w:lang w:eastAsia="zh-CN"/>
        </w:rPr>
        <w:t>本项目</w:t>
      </w:r>
      <w:r>
        <w:rPr>
          <w:rFonts w:hint="default" w:ascii="Times New Roman" w:hAnsi="Times New Roman" w:cs="Times New Roman" w:eastAsiaTheme="minorEastAsia"/>
          <w:color w:val="auto"/>
          <w:highlight w:val="none"/>
          <w:lang w:val="en-US" w:eastAsia="zh-CN"/>
        </w:rPr>
        <w:t>场地内共布设6个土壤采样点，采集土壤样品18个，送检18个，检出因子包括重金属（砷、镉、铜、铅、汞、镍），</w:t>
      </w:r>
      <w:r>
        <w:rPr>
          <w:rFonts w:hint="default" w:ascii="Times New Roman" w:hAnsi="Times New Roman" w:cs="Times New Roman" w:eastAsiaTheme="minorEastAsia"/>
          <w:color w:val="auto"/>
          <w:highlight w:val="none"/>
          <w:lang w:eastAsia="zh-CN"/>
        </w:rPr>
        <w:t>检出</w:t>
      </w:r>
      <w:r>
        <w:rPr>
          <w:rFonts w:hint="default" w:ascii="Times New Roman" w:hAnsi="Times New Roman" w:cs="Times New Roman" w:eastAsiaTheme="minorEastAsia"/>
          <w:color w:val="auto"/>
          <w:highlight w:val="none"/>
        </w:rPr>
        <w:t>浓度均未超过本次调查所选用的筛选值</w:t>
      </w:r>
      <w:r>
        <w:rPr>
          <w:rFonts w:hint="default" w:ascii="Times New Roman" w:hAnsi="Times New Roman" w:cs="Times New Roman" w:eastAsiaTheme="minorEastAsia"/>
          <w:color w:val="auto"/>
          <w:highlight w:val="none"/>
          <w:lang w:eastAsia="zh-CN"/>
        </w:rPr>
        <w:t>。</w:t>
      </w:r>
    </w:p>
    <w:p>
      <w:pPr>
        <w:pStyle w:val="4"/>
        <w:keepNext w:val="0"/>
        <w:keepLines w:val="0"/>
        <w:pageBreakBefore w:val="0"/>
        <w:widowControl w:val="0"/>
        <w:numPr>
          <w:ilvl w:val="1"/>
          <w:numId w:val="0"/>
        </w:numPr>
        <w:kinsoku/>
        <w:wordWrap/>
        <w:overflowPunct/>
        <w:topLinePunct w:val="0"/>
        <w:autoSpaceDE/>
        <w:autoSpaceDN/>
        <w:bidi w:val="0"/>
        <w:spacing w:line="520" w:lineRule="exact"/>
        <w:ind w:leftChars="0"/>
        <w:textAlignment w:val="auto"/>
        <w:rPr>
          <w:rFonts w:hint="default" w:ascii="Times New Roman" w:hAnsi="Times New Roman" w:cs="Times New Roman" w:eastAsiaTheme="minorEastAsia"/>
          <w:color w:val="auto"/>
          <w:lang w:val="en-US" w:eastAsia="zh-CN"/>
        </w:rPr>
      </w:pPr>
      <w:bookmarkStart w:id="22" w:name="_Toc15093"/>
      <w:bookmarkStart w:id="23" w:name="_Toc14346"/>
      <w:bookmarkStart w:id="24" w:name="_Toc17123"/>
      <w:bookmarkStart w:id="25" w:name="_Toc19815"/>
      <w:bookmarkStart w:id="26" w:name="_Toc1900"/>
      <w:bookmarkStart w:id="27" w:name="_Toc2089"/>
      <w:bookmarkStart w:id="28" w:name="_Toc22668"/>
      <w:bookmarkStart w:id="29" w:name="_Toc22591"/>
      <w:bookmarkStart w:id="30" w:name="_Toc20384"/>
      <w:r>
        <w:rPr>
          <w:rFonts w:hint="default" w:ascii="Times New Roman" w:hAnsi="Times New Roman" w:cs="Times New Roman" w:eastAsiaTheme="minorEastAsia"/>
          <w:color w:val="auto"/>
          <w:lang w:val="en-US" w:eastAsia="zh-CN"/>
        </w:rPr>
        <w:t>7.3地下水检测结果</w:t>
      </w:r>
      <w:bookmarkEnd w:id="22"/>
      <w:bookmarkEnd w:id="23"/>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0" w:firstLineChars="200"/>
        <w:textAlignment w:val="auto"/>
        <w:rPr>
          <w:rFonts w:hint="default" w:ascii="Times New Roman" w:hAnsi="Times New Roman" w:cs="Times New Roman" w:eastAsiaTheme="minorEastAsia"/>
          <w:color w:val="FF0000"/>
          <w:sz w:val="24"/>
          <w:highlight w:val="none"/>
          <w:lang w:val="en-US" w:eastAsia="zh-CN"/>
        </w:rPr>
      </w:pPr>
      <w:r>
        <w:rPr>
          <w:rFonts w:hint="default" w:ascii="Times New Roman" w:hAnsi="Times New Roman" w:cs="Times New Roman" w:eastAsiaTheme="minorEastAsia"/>
          <w:color w:val="auto"/>
          <w:sz w:val="24"/>
          <w:highlight w:val="none"/>
          <w:lang w:val="en-US" w:eastAsia="zh-CN"/>
        </w:rPr>
        <w:t>根据地下水检测结果分析，地块内3个地下水监测点位中共检测出14项因子，分别为：pH、总硬度、溶解性总固体、硫酸盐、氯化物、铁、锰、耗氧量、氨氮、硝酸盐、亚硝酸盐、氟化物、汞、砷。除汞、砷、硝酸盐、亚硝酸盐、氟化物为毒理学指标外，其余9项均为一般化学指标，其中毒理学指标中只有W1、W2两个点位硝酸盐超过超出《地下水质量标准》</w:t>
      </w:r>
      <w:r>
        <w:rPr>
          <w:rFonts w:hint="default" w:ascii="Times New Roman" w:hAnsi="Times New Roman" w:cs="Times New Roman" w:eastAsiaTheme="minorEastAsia"/>
          <w:i w:val="0"/>
          <w:color w:val="auto"/>
          <w:kern w:val="0"/>
          <w:sz w:val="21"/>
          <w:szCs w:val="21"/>
          <w:highlight w:val="none"/>
          <w:u w:val="none"/>
          <w:lang w:val="en-US" w:eastAsia="zh-CN" w:bidi="ar"/>
        </w:rPr>
        <w:t>III</w:t>
      </w:r>
      <w:r>
        <w:rPr>
          <w:rFonts w:hint="default" w:ascii="Times New Roman" w:hAnsi="Times New Roman" w:cs="Times New Roman" w:eastAsiaTheme="minorEastAsia"/>
          <w:color w:val="auto"/>
          <w:sz w:val="24"/>
          <w:highlight w:val="none"/>
          <w:lang w:val="en-US" w:eastAsia="zh-CN"/>
        </w:rPr>
        <w:t>类限值，最大超标倍数为0.115倍。一般化学指标中总硬度、溶解性总固体、硫酸盐、氯化物、锰等5项因子均超过《地下水质量标准》</w:t>
      </w:r>
      <w:r>
        <w:rPr>
          <w:rFonts w:hint="default" w:ascii="Times New Roman" w:hAnsi="Times New Roman" w:cs="Times New Roman" w:eastAsiaTheme="minorEastAsia"/>
          <w:i w:val="0"/>
          <w:color w:val="auto"/>
          <w:kern w:val="0"/>
          <w:sz w:val="21"/>
          <w:szCs w:val="21"/>
          <w:highlight w:val="none"/>
          <w:u w:val="none"/>
          <w:lang w:val="en-US" w:eastAsia="zh-CN" w:bidi="ar"/>
        </w:rPr>
        <w:t>III</w:t>
      </w:r>
      <w:r>
        <w:rPr>
          <w:rFonts w:hint="default" w:ascii="Times New Roman" w:hAnsi="Times New Roman" w:cs="Times New Roman" w:eastAsiaTheme="minorEastAsia"/>
          <w:color w:val="auto"/>
          <w:sz w:val="24"/>
          <w:highlight w:val="none"/>
          <w:lang w:val="en-US" w:eastAsia="zh-CN"/>
        </w:rPr>
        <w:t>类限值。</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0" w:firstLineChars="200"/>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本项目地块所在区域居民目前生活用水供给方式为市政集中供水，不直接饮用浅层地下水，地下水中部分点位检测因子虽然超出《地下水质量标准》III类限值，</w:t>
      </w:r>
      <w:r>
        <w:rPr>
          <w:rFonts w:hint="default" w:ascii="Times New Roman" w:hAnsi="Times New Roman" w:cs="Times New Roman" w:eastAsiaTheme="minorEastAsia"/>
          <w:color w:val="auto"/>
          <w:sz w:val="24"/>
          <w:highlight w:val="none"/>
          <w:lang w:val="en-US" w:eastAsia="zh-CN"/>
        </w:rPr>
        <w:t>但不饮用对人体健康的影响基本可以忽略。</w:t>
      </w:r>
    </w:p>
    <w:p>
      <w:pPr>
        <w:pStyle w:val="4"/>
        <w:numPr>
          <w:ilvl w:val="1"/>
          <w:numId w:val="0"/>
        </w:numPr>
        <w:bidi w:val="0"/>
        <w:ind w:leftChars="0"/>
        <w:rPr>
          <w:rFonts w:hint="default" w:ascii="Times New Roman" w:hAnsi="Times New Roman" w:cs="Times New Roman" w:eastAsiaTheme="minorEastAsia"/>
          <w:color w:val="auto"/>
          <w:highlight w:val="none"/>
        </w:rPr>
      </w:pPr>
      <w:bookmarkStart w:id="31" w:name="_Toc3712"/>
      <w:bookmarkStart w:id="32" w:name="_Toc14468"/>
      <w:r>
        <w:rPr>
          <w:rFonts w:hint="default" w:ascii="Times New Roman" w:hAnsi="Times New Roman" w:cs="Times New Roman" w:eastAsiaTheme="minorEastAsia"/>
          <w:color w:val="auto"/>
          <w:highlight w:val="none"/>
          <w:lang w:val="en-US" w:eastAsia="zh-CN"/>
        </w:rPr>
        <w:t>7</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4</w:t>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color w:val="auto"/>
          <w:highlight w:val="none"/>
          <w:lang w:eastAsia="zh-CN"/>
        </w:rPr>
        <w:t>地块</w:t>
      </w:r>
      <w:r>
        <w:rPr>
          <w:rFonts w:hint="default" w:ascii="Times New Roman" w:hAnsi="Times New Roman" w:cs="Times New Roman" w:eastAsiaTheme="minorEastAsia"/>
          <w:color w:val="auto"/>
          <w:highlight w:val="none"/>
        </w:rPr>
        <w:t>调查结论</w:t>
      </w:r>
      <w:bookmarkEnd w:id="24"/>
      <w:bookmarkEnd w:id="25"/>
      <w:bookmarkEnd w:id="26"/>
      <w:bookmarkEnd w:id="27"/>
      <w:bookmarkEnd w:id="28"/>
      <w:bookmarkEnd w:id="29"/>
      <w:bookmarkEnd w:id="30"/>
      <w:bookmarkEnd w:id="31"/>
      <w:bookmarkEnd w:id="32"/>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outlineLvl w:val="9"/>
        <w:rPr>
          <w:rFonts w:hint="default" w:ascii="Times New Roman" w:hAnsi="Times New Roman" w:cs="Times New Roman" w:eastAsiaTheme="minorEastAsia"/>
          <w:color w:val="000000"/>
          <w:kern w:val="0"/>
          <w:highlight w:val="none"/>
          <w:lang w:eastAsia="zh-CN"/>
        </w:rPr>
      </w:pPr>
      <w:bookmarkStart w:id="33" w:name="_Toc31760"/>
      <w:bookmarkStart w:id="34" w:name="_Toc22256"/>
      <w:bookmarkStart w:id="35" w:name="_Toc7090"/>
      <w:bookmarkStart w:id="36" w:name="_Toc17273"/>
      <w:bookmarkStart w:id="37" w:name="_Toc30875"/>
      <w:bookmarkStart w:id="38" w:name="_Toc29026"/>
      <w:bookmarkStart w:id="39" w:name="_Toc30954"/>
      <w:bookmarkStart w:id="40" w:name="_Toc27609"/>
      <w:r>
        <w:rPr>
          <w:rFonts w:hint="default" w:ascii="Times New Roman" w:hAnsi="Times New Roman" w:cs="Times New Roman" w:eastAsiaTheme="minorEastAsia"/>
          <w:color w:val="000000"/>
          <w:kern w:val="0"/>
          <w:highlight w:val="none"/>
        </w:rPr>
        <w:t>经过本次</w:t>
      </w:r>
      <w:r>
        <w:rPr>
          <w:rFonts w:hint="default" w:ascii="Times New Roman" w:hAnsi="Times New Roman" w:cs="Times New Roman" w:eastAsiaTheme="minorEastAsia"/>
          <w:color w:val="000000"/>
          <w:kern w:val="0"/>
          <w:highlight w:val="none"/>
          <w:lang w:eastAsia="zh-CN"/>
        </w:rPr>
        <w:t>土壤污染状况初步</w:t>
      </w:r>
      <w:r>
        <w:rPr>
          <w:rFonts w:hint="default" w:ascii="Times New Roman" w:hAnsi="Times New Roman" w:cs="Times New Roman" w:eastAsiaTheme="minorEastAsia"/>
          <w:color w:val="000000"/>
          <w:kern w:val="0"/>
          <w:highlight w:val="none"/>
        </w:rPr>
        <w:t>调查，可以确认</w:t>
      </w:r>
      <w:r>
        <w:rPr>
          <w:rFonts w:hint="default" w:ascii="Times New Roman" w:hAnsi="Times New Roman" w:cs="Times New Roman" w:eastAsiaTheme="minorEastAsia"/>
          <w:color w:val="000000"/>
          <w:kern w:val="0"/>
          <w:highlight w:val="none"/>
          <w:lang w:eastAsia="zh-CN"/>
        </w:rPr>
        <w:t>地块土壤</w:t>
      </w:r>
      <w:r>
        <w:rPr>
          <w:rFonts w:hint="default" w:ascii="Times New Roman" w:hAnsi="Times New Roman" w:cs="Times New Roman" w:eastAsiaTheme="minorEastAsia"/>
          <w:color w:val="000000"/>
          <w:kern w:val="0"/>
          <w:highlight w:val="none"/>
          <w:lang w:val="zh-CN"/>
        </w:rPr>
        <w:t>不存在因子超标情况；地下水</w:t>
      </w:r>
      <w:r>
        <w:rPr>
          <w:rFonts w:hint="default" w:ascii="Times New Roman" w:hAnsi="Times New Roman" w:cs="Times New Roman" w:eastAsiaTheme="minorEastAsia"/>
          <w:color w:val="000000"/>
          <w:kern w:val="0"/>
          <w:highlight w:val="none"/>
          <w:lang w:eastAsia="zh-CN"/>
        </w:rPr>
        <w:t>总硬度、溶解性总固体、硫酸盐、氯化物、锰、硝酸盐等</w:t>
      </w:r>
      <w:r>
        <w:rPr>
          <w:rFonts w:hint="default" w:ascii="Times New Roman" w:hAnsi="Times New Roman" w:cs="Times New Roman" w:eastAsiaTheme="minorEastAsia"/>
          <w:color w:val="000000"/>
          <w:kern w:val="0"/>
          <w:highlight w:val="none"/>
          <w:lang w:val="en-US" w:eastAsia="zh-CN"/>
        </w:rPr>
        <w:t>6项指标超过III类标准，浅层地下水水质较差，由于地下水不作为饮用水源</w:t>
      </w:r>
      <w:r>
        <w:rPr>
          <w:rFonts w:hint="default" w:ascii="Times New Roman" w:hAnsi="Times New Roman" w:cs="Times New Roman" w:eastAsiaTheme="minorEastAsia"/>
          <w:color w:val="000000"/>
          <w:kern w:val="0"/>
          <w:highlight w:val="none"/>
          <w:lang w:eastAsia="zh-CN"/>
        </w:rPr>
        <w:t>，无暴露途径，对人体健康影响可忽略，</w:t>
      </w:r>
      <w:r>
        <w:rPr>
          <w:rFonts w:hint="default" w:ascii="Times New Roman" w:hAnsi="Times New Roman" w:cs="Times New Roman" w:eastAsiaTheme="minorEastAsia"/>
          <w:color w:val="000000"/>
          <w:kern w:val="0"/>
          <w:highlight w:val="none"/>
          <w:lang w:val="zh-CN"/>
        </w:rPr>
        <w:t>本项目地块不属于污染地块。根据国家相关标准导则规定</w:t>
      </w:r>
      <w:r>
        <w:rPr>
          <w:rFonts w:hint="default" w:ascii="Times New Roman" w:hAnsi="Times New Roman" w:cs="Times New Roman" w:eastAsiaTheme="minorEastAsia"/>
          <w:color w:val="000000"/>
          <w:kern w:val="0"/>
          <w:highlight w:val="none"/>
        </w:rPr>
        <w:t>，</w:t>
      </w:r>
      <w:r>
        <w:rPr>
          <w:rFonts w:hint="default" w:ascii="Times New Roman" w:hAnsi="Times New Roman" w:cs="Times New Roman" w:eastAsiaTheme="minorEastAsia"/>
          <w:color w:val="000000"/>
          <w:kern w:val="0"/>
          <w:highlight w:val="none"/>
          <w:lang w:eastAsia="zh-CN"/>
        </w:rPr>
        <w:t>宝哲小区地块土壤环境</w:t>
      </w:r>
      <w:r>
        <w:rPr>
          <w:rFonts w:hint="default" w:ascii="Times New Roman" w:hAnsi="Times New Roman" w:cs="Times New Roman" w:eastAsiaTheme="minorEastAsia"/>
          <w:color w:val="000000"/>
          <w:kern w:val="0"/>
          <w:highlight w:val="none"/>
        </w:rPr>
        <w:t>调查工作结束</w:t>
      </w:r>
      <w:r>
        <w:rPr>
          <w:rFonts w:hint="default" w:ascii="Times New Roman" w:hAnsi="Times New Roman" w:cs="Times New Roman" w:eastAsiaTheme="minorEastAsia"/>
          <w:color w:val="000000"/>
          <w:kern w:val="0"/>
          <w:highlight w:val="none"/>
          <w:lang w:eastAsia="zh-CN"/>
        </w:rPr>
        <w:t>。</w:t>
      </w:r>
    </w:p>
    <w:p>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cs="Times New Roman"/>
          <w:lang w:eastAsia="zh-CN"/>
        </w:rPr>
      </w:pPr>
      <w:r>
        <w:rPr>
          <w:rFonts w:hint="default" w:ascii="Times New Roman" w:hAnsi="Times New Roman" w:cs="Times New Roman" w:eastAsiaTheme="minorEastAsia"/>
          <w:color w:val="000000"/>
          <w:kern w:val="0"/>
          <w:highlight w:val="none"/>
          <w:lang w:eastAsia="zh-CN"/>
        </w:rPr>
        <w:t>综上所述，本地块按照其规划性质，结合本次调查结果，达到相应用地标准，因此本地块未来可作为住宅用地使用。</w:t>
      </w:r>
    </w:p>
    <w:p>
      <w:pPr>
        <w:pStyle w:val="4"/>
        <w:numPr>
          <w:ilvl w:val="1"/>
          <w:numId w:val="0"/>
        </w:numPr>
        <w:ind w:leftChars="0"/>
        <w:rPr>
          <w:rFonts w:hint="default" w:ascii="Times New Roman" w:hAnsi="Times New Roman" w:cs="Times New Roman" w:eastAsiaTheme="minorEastAsia"/>
          <w:color w:val="auto"/>
        </w:rPr>
      </w:pPr>
      <w:bookmarkStart w:id="41" w:name="_Toc24665"/>
      <w:r>
        <w:rPr>
          <w:rFonts w:hint="default" w:ascii="Times New Roman" w:hAnsi="Times New Roman" w:cs="Times New Roman" w:eastAsiaTheme="minorEastAsia"/>
          <w:color w:val="auto"/>
          <w:lang w:val="en-US" w:eastAsia="zh-CN"/>
        </w:rPr>
        <w:t>7</w:t>
      </w:r>
      <w:r>
        <w:rPr>
          <w:rFonts w:hint="default" w:ascii="Times New Roman" w:hAnsi="Times New Roman" w:cs="Times New Roman" w:eastAsiaTheme="minorEastAsia"/>
          <w:color w:val="auto"/>
        </w:rPr>
        <w:t>.</w:t>
      </w:r>
      <w:r>
        <w:rPr>
          <w:rFonts w:hint="default"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rPr>
        <w:t xml:space="preserve"> 建议</w:t>
      </w:r>
      <w:bookmarkEnd w:id="33"/>
      <w:bookmarkEnd w:id="34"/>
      <w:bookmarkEnd w:id="35"/>
      <w:bookmarkEnd w:id="36"/>
      <w:bookmarkEnd w:id="37"/>
      <w:bookmarkEnd w:id="38"/>
      <w:bookmarkEnd w:id="39"/>
      <w:bookmarkEnd w:id="40"/>
      <w:bookmarkEnd w:id="41"/>
    </w:p>
    <w:p>
      <w:pPr>
        <w:pStyle w:val="2"/>
        <w:keepNext w:val="0"/>
        <w:keepLines w:val="0"/>
        <w:pageBreakBefore w:val="0"/>
        <w:widowControl w:val="0"/>
        <w:kinsoku/>
        <w:wordWrap/>
        <w:overflowPunct/>
        <w:topLinePunct w:val="0"/>
        <w:autoSpaceDE/>
        <w:autoSpaceDN/>
        <w:bidi w:val="0"/>
        <w:adjustRightInd w:val="0"/>
        <w:snapToGrid w:val="0"/>
        <w:spacing w:after="0" w:line="520" w:lineRule="exact"/>
        <w:jc w:val="both"/>
        <w:textAlignment w:val="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 w:val="24"/>
          <w:szCs w:val="24"/>
          <w:highlight w:val="none"/>
        </w:rPr>
        <w:t>在后续拆迁、开发过程中，严格按照</w:t>
      </w:r>
      <w:r>
        <w:rPr>
          <w:rFonts w:hint="default" w:ascii="Times New Roman" w:hAnsi="Times New Roman" w:cs="Times New Roman" w:eastAsiaTheme="minorEastAsia"/>
          <w:color w:val="auto"/>
          <w:sz w:val="24"/>
          <w:szCs w:val="24"/>
          <w:highlight w:val="none"/>
          <w:lang w:eastAsia="zh-CN"/>
        </w:rPr>
        <w:t>原</w:t>
      </w:r>
      <w:r>
        <w:rPr>
          <w:rFonts w:hint="default" w:ascii="Times New Roman" w:hAnsi="Times New Roman" w:cs="Times New Roman" w:eastAsiaTheme="minorEastAsia"/>
          <w:color w:val="auto"/>
          <w:sz w:val="24"/>
          <w:szCs w:val="24"/>
          <w:highlight w:val="none"/>
        </w:rPr>
        <w:t>环保部《关于加强工业企业关停、搬迁及原址场地再开发利用过程中污染防治工作的通知》（环发[2014]66 号）及《企业拆除活动污染防治技术规定》（2017 第78号）的要求，规范搬迁。对于场地内</w:t>
      </w:r>
      <w:r>
        <w:rPr>
          <w:rFonts w:hint="default" w:ascii="Times New Roman" w:hAnsi="Times New Roman" w:cs="Times New Roman" w:eastAsiaTheme="minorEastAsia"/>
          <w:color w:val="auto"/>
          <w:sz w:val="24"/>
          <w:szCs w:val="24"/>
          <w:highlight w:val="none"/>
          <w:lang w:eastAsia="zh-CN"/>
        </w:rPr>
        <w:t>拆除过程中产生</w:t>
      </w:r>
      <w:r>
        <w:rPr>
          <w:rFonts w:hint="default" w:ascii="Times New Roman" w:hAnsi="Times New Roman" w:cs="Times New Roman" w:eastAsiaTheme="minorEastAsia"/>
          <w:color w:val="auto"/>
          <w:sz w:val="24"/>
          <w:szCs w:val="24"/>
          <w:highlight w:val="none"/>
        </w:rPr>
        <w:t>的建筑垃圾，企业应进行清理，并按照相关规范妥善处置，避免污染环境。一旦存在环境污染风险时，应及时上报环境保护主管部门，必要时应继续开展相应的</w:t>
      </w:r>
      <w:r>
        <w:rPr>
          <w:rFonts w:hint="default" w:ascii="Times New Roman" w:hAnsi="Times New Roman" w:cs="Times New Roman" w:eastAsiaTheme="minorEastAsia"/>
          <w:color w:val="auto"/>
          <w:sz w:val="24"/>
          <w:szCs w:val="24"/>
          <w:highlight w:val="none"/>
          <w:lang w:eastAsia="zh-CN"/>
        </w:rPr>
        <w:t>土壤污染状况</w:t>
      </w:r>
      <w:r>
        <w:rPr>
          <w:rFonts w:hint="default" w:ascii="Times New Roman" w:hAnsi="Times New Roman" w:cs="Times New Roman" w:eastAsiaTheme="minorEastAsia"/>
          <w:color w:val="auto"/>
          <w:sz w:val="24"/>
          <w:szCs w:val="24"/>
          <w:highlight w:val="none"/>
        </w:rPr>
        <w:t>调查工作</w:t>
      </w:r>
      <w:r>
        <w:rPr>
          <w:rFonts w:hint="default" w:ascii="Times New Roman" w:hAnsi="Times New Roman" w:cs="Times New Roman" w:eastAsiaTheme="minorEastAsia"/>
          <w:color w:val="auto"/>
          <w:sz w:val="24"/>
          <w:szCs w:val="24"/>
          <w:highlight w:val="none"/>
          <w:lang w:eastAsia="zh-CN"/>
        </w:rPr>
        <w:t>。</w:t>
      </w:r>
    </w:p>
    <w:bookmarkEnd w:id="0"/>
    <w:bookmarkEnd w:id="1"/>
    <w:bookmarkEnd w:id="2"/>
    <w:bookmarkEnd w:id="3"/>
    <w:bookmarkEnd w:id="4"/>
    <w:bookmarkEnd w:id="5"/>
    <w:bookmarkEnd w:id="13"/>
    <w:bookmarkEnd w:id="14"/>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C7D17"/>
    <w:multiLevelType w:val="multilevel"/>
    <w:tmpl w:val="1AEC7D17"/>
    <w:lvl w:ilvl="0" w:tentative="0">
      <w:start w:val="1"/>
      <w:numFmt w:val="decimal"/>
      <w:suff w:val="space"/>
      <w:lvlText w:val="%1"/>
      <w:lvlJc w:val="left"/>
      <w:pPr>
        <w:ind w:left="0" w:firstLine="0"/>
      </w:pPr>
      <w:rPr>
        <w:rFonts w:hint="default" w:ascii="Times New Roman" w:hAnsi="Times New Roman"/>
      </w:rPr>
    </w:lvl>
    <w:lvl w:ilvl="1" w:tentative="0">
      <w:start w:val="1"/>
      <w:numFmt w:val="decimal"/>
      <w:pStyle w:val="4"/>
      <w:isLgl/>
      <w:suff w:val="space"/>
      <w:lvlText w:val="%1.%2"/>
      <w:lvlJc w:val="left"/>
      <w:pPr>
        <w:ind w:left="0" w:firstLine="0"/>
      </w:pPr>
      <w:rPr>
        <w:rFonts w:hint="default" w:ascii="Times New Roman" w:hAnsi="Times New Roman"/>
      </w:rPr>
    </w:lvl>
    <w:lvl w:ilvl="2" w:tentative="0">
      <w:start w:val="1"/>
      <w:numFmt w:val="decimal"/>
      <w:isLgl/>
      <w:suff w:val="space"/>
      <w:lvlText w:val="%1.%2.%3"/>
      <w:lvlJc w:val="left"/>
      <w:pPr>
        <w:ind w:left="0" w:firstLine="0"/>
      </w:pPr>
      <w:rPr>
        <w:rFonts w:hint="default" w:ascii="Times New Roman" w:hAnsi="Times New Roman"/>
      </w:rPr>
    </w:lvl>
    <w:lvl w:ilvl="3" w:tentative="0">
      <w:start w:val="1"/>
      <w:numFmt w:val="decimal"/>
      <w:isLgl/>
      <w:suff w:val="space"/>
      <w:lvlText w:val="%1.%2.%3.%4"/>
      <w:lvlJc w:val="left"/>
      <w:pPr>
        <w:ind w:left="0" w:firstLine="0"/>
      </w:pPr>
      <w:rPr>
        <w:b/>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4" w:tentative="0">
      <w:start w:val="1"/>
      <w:numFmt w:val="decimal"/>
      <w:isLgl/>
      <w:suff w:val="space"/>
      <w:lvlText w:val="（%5）"/>
      <w:lvlJc w:val="left"/>
      <w:pPr>
        <w:ind w:left="1843" w:firstLine="0"/>
      </w:pPr>
      <w:rPr>
        <w:rFonts w:hint="eastAsia"/>
      </w:rPr>
    </w:lvl>
    <w:lvl w:ilvl="5" w:tentative="0">
      <w:start w:val="1"/>
      <w:numFmt w:val="upperRoman"/>
      <w:suff w:val="space"/>
      <w:lvlText w:val="%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B15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1"/>
      <w:lang w:val="en-US" w:eastAsia="zh-CN" w:bidi="ar-SA"/>
    </w:rPr>
  </w:style>
  <w:style w:type="paragraph" w:styleId="4">
    <w:name w:val="heading 2"/>
    <w:basedOn w:val="1"/>
    <w:next w:val="1"/>
    <w:unhideWhenUsed/>
    <w:qFormat/>
    <w:uiPriority w:val="9"/>
    <w:pPr>
      <w:numPr>
        <w:ilvl w:val="1"/>
        <w:numId w:val="1"/>
      </w:numPr>
      <w:spacing w:before="80" w:after="80"/>
      <w:ind w:firstLineChars="0"/>
      <w:outlineLvl w:val="1"/>
    </w:pPr>
    <w:rPr>
      <w:rFonts w:cstheme="majorBidi"/>
      <w:b/>
      <w:bCs/>
      <w:sz w:val="30"/>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adjustRightInd w:val="0"/>
      <w:snapToGrid w:val="0"/>
      <w:spacing w:line="360" w:lineRule="auto"/>
      <w:ind w:left="0" w:leftChars="0" w:right="0" w:firstLine="960" w:firstLineChars="200"/>
    </w:pPr>
    <w:rPr>
      <w:rFonts w:ascii="Times New Roman" w:hAnsi="Times New Roman" w:eastAsia="宋体" w:cs="宋体"/>
      <w:color w:val="000000"/>
      <w:kern w:val="0"/>
      <w:sz w:val="24"/>
      <w:szCs w:val="28"/>
    </w:rPr>
  </w:style>
  <w:style w:type="paragraph" w:styleId="3">
    <w:name w:val="Body Text Indent"/>
    <w:basedOn w:val="1"/>
    <w:qFormat/>
    <w:uiPriority w:val="0"/>
    <w:pPr>
      <w:spacing w:line="500" w:lineRule="exact"/>
      <w:ind w:firstLine="640" w:firstLineChars="200"/>
    </w:pPr>
    <w:rPr>
      <w:rFonts w:ascii="仿宋_GB2312" w:eastAsia="仿宋_GB2312"/>
      <w:sz w:val="32"/>
    </w:rPr>
  </w:style>
  <w:style w:type="paragraph" w:styleId="5">
    <w:name w:val="Normal Indent"/>
    <w:basedOn w:val="1"/>
    <w:qFormat/>
    <w:uiPriority w:val="0"/>
    <w:pPr>
      <w:adjustRightInd w:val="0"/>
      <w:spacing w:line="360" w:lineRule="atLeast"/>
      <w:ind w:firstLine="420"/>
      <w:textAlignment w:val="baseline"/>
    </w:pPr>
  </w:style>
  <w:style w:type="paragraph" w:customStyle="1" w:styleId="8">
    <w:name w:val="段落"/>
    <w:basedOn w:val="1"/>
    <w:next w:val="1"/>
    <w:qFormat/>
    <w:uiPriority w:val="0"/>
    <w:pPr>
      <w:ind w:firstLine="480"/>
    </w:pPr>
    <w:rPr>
      <w:rFonts w:cs="宋体"/>
      <w:szCs w:val="24"/>
      <w:lang w:val="zh-CN"/>
    </w:rPr>
  </w:style>
  <w:style w:type="paragraph" w:customStyle="1" w:styleId="9">
    <w:name w:val="_Style 11"/>
    <w:basedOn w:val="1"/>
    <w:qFormat/>
    <w:uiPriority w:val="34"/>
    <w:pPr>
      <w:spacing w:line="400" w:lineRule="atLeast"/>
      <w:ind w:firstLine="420"/>
    </w:pPr>
    <w:rPr>
      <w:rFonts w:ascii="Arial" w:hAnsi="Arial"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方天画戟</cp:lastModifiedBy>
  <dcterms:modified xsi:type="dcterms:W3CDTF">2020-01-02T03:48:46Z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